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E9EE7" w14:textId="6272AC4D" w:rsidR="00E72302" w:rsidRDefault="00E72302" w:rsidP="00FD26D2">
      <w:pPr>
        <w:pStyle w:val="1"/>
      </w:pPr>
      <w:r w:rsidRPr="007C5B44">
        <w:rPr>
          <w:rFonts w:cstheme="minorHAnsi"/>
          <w:noProof/>
        </w:rPr>
        <w:drawing>
          <wp:inline distT="0" distB="0" distL="0" distR="0" wp14:anchorId="64490280" wp14:editId="5FF1E45B">
            <wp:extent cx="2438400" cy="530483"/>
            <wp:effectExtent l="0" t="0" r="0" b="317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ynamode-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47883" cy="532546"/>
                    </a:xfrm>
                    <a:prstGeom prst="rect">
                      <a:avLst/>
                    </a:prstGeom>
                  </pic:spPr>
                </pic:pic>
              </a:graphicData>
            </a:graphic>
          </wp:inline>
        </w:drawing>
      </w:r>
    </w:p>
    <w:p w14:paraId="66B11B77" w14:textId="77777777" w:rsidR="00FF00AD" w:rsidRDefault="00FF00AD" w:rsidP="00FF00AD">
      <w:pPr>
        <w:pStyle w:val="1"/>
      </w:pPr>
      <w:r>
        <w:t>48 Port 2U Rackmount CAT5E UTP Patch Panel (PPAN-48-LC)</w:t>
      </w:r>
    </w:p>
    <w:p w14:paraId="1177A083" w14:textId="73E1C07D" w:rsidR="00FF00AD" w:rsidRPr="00C625E8" w:rsidRDefault="00FF00AD" w:rsidP="00C625E8">
      <w:pPr>
        <w:jc w:val="left"/>
        <w:rPr>
          <w:sz w:val="30"/>
          <w:szCs w:val="30"/>
        </w:rPr>
      </w:pPr>
      <w:r>
        <w:rPr>
          <w:noProof/>
        </w:rPr>
        <w:drawing>
          <wp:inline distT="0" distB="0" distL="0" distR="0" wp14:anchorId="36A26A15" wp14:editId="0FCC7196">
            <wp:extent cx="4657143" cy="3447619"/>
            <wp:effectExtent l="0" t="0" r="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657143" cy="3447619"/>
                    </a:xfrm>
                    <a:prstGeom prst="rect">
                      <a:avLst/>
                    </a:prstGeom>
                  </pic:spPr>
                </pic:pic>
              </a:graphicData>
            </a:graphic>
          </wp:inline>
        </w:drawing>
      </w:r>
    </w:p>
    <w:p w14:paraId="4291A655" w14:textId="77777777" w:rsidR="00FF00AD" w:rsidRDefault="00FF00AD" w:rsidP="00FF00AD">
      <w:pPr>
        <w:pStyle w:val="1"/>
        <w:shd w:val="clear" w:color="auto" w:fill="FFFFFF"/>
        <w:spacing w:before="0" w:after="0"/>
        <w:rPr>
          <w:rFonts w:ascii="Work Sans" w:hAnsi="Work Sans"/>
          <w:color w:val="000000"/>
          <w:sz w:val="36"/>
          <w:szCs w:val="36"/>
        </w:rPr>
      </w:pPr>
      <w:r>
        <w:rPr>
          <w:rFonts w:ascii="Work Sans" w:hAnsi="Work Sans"/>
          <w:color w:val="2B00FF"/>
          <w:sz w:val="36"/>
          <w:szCs w:val="36"/>
        </w:rPr>
        <w:t>Description:</w:t>
      </w:r>
    </w:p>
    <w:p w14:paraId="1BB4B98F" w14:textId="77777777" w:rsidR="00FF00AD" w:rsidRPr="00FF00AD" w:rsidRDefault="00FF00AD" w:rsidP="00FF00AD">
      <w:pPr>
        <w:rPr>
          <w:sz w:val="30"/>
          <w:szCs w:val="30"/>
        </w:rPr>
      </w:pPr>
      <w:r w:rsidRPr="00FF00AD">
        <w:rPr>
          <w:sz w:val="30"/>
          <w:szCs w:val="30"/>
        </w:rPr>
        <w:t>The LMS Data</w:t>
      </w:r>
      <w:r w:rsidRPr="00FF00AD">
        <w:rPr>
          <w:b/>
          <w:bCs/>
          <w:sz w:val="30"/>
          <w:szCs w:val="30"/>
        </w:rPr>
        <w:t> PPAN-48-LC</w:t>
      </w:r>
      <w:r w:rsidRPr="00FF00AD">
        <w:rPr>
          <w:sz w:val="30"/>
          <w:szCs w:val="30"/>
        </w:rPr>
        <w:t> is 48 Port certified high-density CAT5e UTP Patch Panel which is ideal for structured cabling installations in offices of all sizes. Using two rows of 24 Ports means its an ideal solution for high density cabling installations and reduces costs when compared to buying separate 24 Port Cat5e Patch Panels.</w:t>
      </w:r>
      <w:r w:rsidRPr="00FF00AD">
        <w:rPr>
          <w:sz w:val="30"/>
          <w:szCs w:val="30"/>
        </w:rPr>
        <w:br/>
      </w:r>
      <w:r w:rsidRPr="00FF00AD">
        <w:rPr>
          <w:sz w:val="30"/>
          <w:szCs w:val="30"/>
        </w:rPr>
        <w:br/>
        <w:t>Fully Gigabit Ethernet certified means its ideal for running legacy and advanced networking protocols to Gigabit Switches up up to 1000Mbps. Also ideal for telecom, VoIP, CCTV-IP and other Ethernet based standards.</w:t>
      </w:r>
    </w:p>
    <w:p w14:paraId="7F3F54B3" w14:textId="333F5730" w:rsidR="00FF00AD" w:rsidRDefault="00FF00AD" w:rsidP="00FF00AD">
      <w:pPr>
        <w:rPr>
          <w:sz w:val="30"/>
          <w:szCs w:val="30"/>
        </w:rPr>
      </w:pPr>
      <w:r w:rsidRPr="00FF00AD">
        <w:rPr>
          <w:sz w:val="30"/>
          <w:szCs w:val="30"/>
        </w:rPr>
        <w:lastRenderedPageBreak/>
        <w:t>Long-life, nickel plated female RJ45s, robust construction with colour-coded rear Krone(tm) KATT type IDC for both TIA-568A/B terminations.</w:t>
      </w:r>
    </w:p>
    <w:p w14:paraId="20009D36" w14:textId="529BF31D" w:rsidR="00FF00AD" w:rsidRDefault="00FF00AD" w:rsidP="00FF00AD">
      <w:pPr>
        <w:rPr>
          <w:sz w:val="30"/>
          <w:szCs w:val="30"/>
        </w:rPr>
      </w:pPr>
    </w:p>
    <w:p w14:paraId="7F3DA26F" w14:textId="00519C3F" w:rsidR="00FF00AD" w:rsidRPr="00FF00AD" w:rsidRDefault="00FF00AD" w:rsidP="00FF00AD">
      <w:pPr>
        <w:rPr>
          <w:sz w:val="30"/>
          <w:szCs w:val="30"/>
        </w:rPr>
      </w:pPr>
      <w:r w:rsidRPr="00FF00AD">
        <w:rPr>
          <w:sz w:val="30"/>
          <w:szCs w:val="30"/>
        </w:rPr>
        <w:t>Offering superior performance for your new or expanding Structured Cabling network, the new Category 5e UTP Patch Panel from LMS Data is ideal for all your installation projects. The PPAN-48-LC2 is a fully metal designed panel with performance up to Category 5e (enhanced). With a black, semigloss finish the Patch Panel comes with high-quality standard IDC terminations to allow a high amount of re-terminations using multiple size AWG data cables. Fully TIA-ETA-568A/B compatible and ideal for both Voice and Data applications up to 1000BaseT (Gigabit Ethernet), quality is further proven with the addition of Gold over Nickel plated jack contacts and fully enclosed connection PCBs to further reduce interference and increase over Signal quality margins to help get the most of your future network requirements.</w:t>
      </w:r>
    </w:p>
    <w:p w14:paraId="55E3BD08" w14:textId="77777777" w:rsidR="00FF00AD" w:rsidRPr="00FF00AD" w:rsidRDefault="00FF00AD" w:rsidP="00FF00AD">
      <w:pPr>
        <w:widowControl/>
        <w:shd w:val="clear" w:color="auto" w:fill="FFFFFF"/>
        <w:jc w:val="left"/>
        <w:rPr>
          <w:rFonts w:ascii="Work Sans" w:eastAsia="宋体" w:hAnsi="Work Sans" w:cs="宋体"/>
          <w:color w:val="000000"/>
          <w:kern w:val="0"/>
          <w:sz w:val="24"/>
          <w:szCs w:val="24"/>
        </w:rPr>
      </w:pPr>
    </w:p>
    <w:p w14:paraId="7FF7151C" w14:textId="77777777" w:rsidR="00FF00AD" w:rsidRDefault="00FF00AD" w:rsidP="00FF00AD">
      <w:pPr>
        <w:pStyle w:val="1"/>
        <w:shd w:val="clear" w:color="auto" w:fill="FFFFFF"/>
        <w:spacing w:before="0" w:after="0"/>
        <w:rPr>
          <w:rFonts w:ascii="Work Sans" w:hAnsi="Work Sans"/>
          <w:color w:val="000000"/>
          <w:sz w:val="36"/>
          <w:szCs w:val="36"/>
        </w:rPr>
      </w:pPr>
      <w:r>
        <w:rPr>
          <w:rFonts w:ascii="Work Sans" w:hAnsi="Work Sans"/>
          <w:color w:val="2B00FF"/>
          <w:sz w:val="36"/>
          <w:szCs w:val="36"/>
        </w:rPr>
        <w:t>Key Features:</w:t>
      </w:r>
    </w:p>
    <w:p w14:paraId="3188A5B1" w14:textId="47791065" w:rsidR="00FF00AD" w:rsidRPr="00FF00AD" w:rsidRDefault="00FF00AD" w:rsidP="00FF00AD">
      <w:pPr>
        <w:pStyle w:val="a8"/>
        <w:numPr>
          <w:ilvl w:val="0"/>
          <w:numId w:val="12"/>
        </w:numPr>
        <w:ind w:firstLineChars="0"/>
        <w:rPr>
          <w:rFonts w:hint="eastAsia"/>
          <w:sz w:val="32"/>
          <w:szCs w:val="32"/>
        </w:rPr>
      </w:pPr>
      <w:r w:rsidRPr="00FF00AD">
        <w:rPr>
          <w:sz w:val="32"/>
          <w:szCs w:val="32"/>
        </w:rPr>
        <w:t>Certified CAT5E Performance for Gigabit Ethernet</w:t>
      </w:r>
    </w:p>
    <w:p w14:paraId="2E95C7F6" w14:textId="550BF9C0" w:rsidR="00FF00AD" w:rsidRPr="00FF00AD" w:rsidRDefault="00FF00AD" w:rsidP="00FF00AD">
      <w:pPr>
        <w:pStyle w:val="a8"/>
        <w:numPr>
          <w:ilvl w:val="0"/>
          <w:numId w:val="12"/>
        </w:numPr>
        <w:ind w:firstLineChars="0"/>
        <w:rPr>
          <w:rFonts w:hint="eastAsia"/>
          <w:sz w:val="32"/>
          <w:szCs w:val="32"/>
        </w:rPr>
      </w:pPr>
      <w:r w:rsidRPr="00FF00AD">
        <w:rPr>
          <w:sz w:val="32"/>
          <w:szCs w:val="32"/>
        </w:rPr>
        <w:t>Popular Krone(tm) KATT Dual Purpose IDC Punchdown</w:t>
      </w:r>
    </w:p>
    <w:p w14:paraId="7E343886" w14:textId="7B039F87" w:rsidR="00FF00AD" w:rsidRPr="00FF00AD" w:rsidRDefault="00FF00AD" w:rsidP="00FF00AD">
      <w:pPr>
        <w:pStyle w:val="a8"/>
        <w:numPr>
          <w:ilvl w:val="0"/>
          <w:numId w:val="12"/>
        </w:numPr>
        <w:ind w:firstLineChars="0"/>
        <w:rPr>
          <w:rFonts w:hint="eastAsia"/>
          <w:sz w:val="32"/>
          <w:szCs w:val="32"/>
        </w:rPr>
      </w:pPr>
      <w:r w:rsidRPr="00FF00AD">
        <w:rPr>
          <w:sz w:val="32"/>
          <w:szCs w:val="32"/>
        </w:rPr>
        <w:t>2u High-Density 24 Port Cat5e Ports Mitigates Costs</w:t>
      </w:r>
    </w:p>
    <w:p w14:paraId="78193B44" w14:textId="6D52DFFC" w:rsidR="00FF00AD" w:rsidRPr="00FF00AD" w:rsidRDefault="00FF00AD" w:rsidP="00FF00AD">
      <w:pPr>
        <w:pStyle w:val="a8"/>
        <w:numPr>
          <w:ilvl w:val="0"/>
          <w:numId w:val="12"/>
        </w:numPr>
        <w:ind w:firstLineChars="0"/>
        <w:rPr>
          <w:b/>
          <w:bCs/>
          <w:sz w:val="32"/>
          <w:szCs w:val="32"/>
        </w:rPr>
      </w:pPr>
      <w:r w:rsidRPr="00FF00AD">
        <w:rPr>
          <w:sz w:val="32"/>
          <w:szCs w:val="32"/>
        </w:rPr>
        <w:t>Part of the Synthesis 25-Year Warranty Solution</w:t>
      </w:r>
    </w:p>
    <w:p w14:paraId="1F67ACAD" w14:textId="48627E27" w:rsidR="00FF00AD" w:rsidRDefault="00FF00AD" w:rsidP="00FF00AD">
      <w:pPr>
        <w:rPr>
          <w:b/>
          <w:bCs/>
          <w:sz w:val="32"/>
          <w:szCs w:val="32"/>
        </w:rPr>
      </w:pPr>
    </w:p>
    <w:p w14:paraId="058E6A13" w14:textId="31922DE3" w:rsidR="00FF00AD" w:rsidRDefault="00FF00AD" w:rsidP="00FF00AD">
      <w:pPr>
        <w:pStyle w:val="1"/>
        <w:shd w:val="clear" w:color="auto" w:fill="FFFFFF"/>
        <w:spacing w:before="0" w:after="0"/>
        <w:rPr>
          <w:rFonts w:ascii="Work Sans" w:hAnsi="Work Sans"/>
          <w:color w:val="2B00FF"/>
          <w:sz w:val="36"/>
          <w:szCs w:val="36"/>
        </w:rPr>
      </w:pPr>
      <w:r w:rsidRPr="00FF00AD">
        <w:rPr>
          <w:rFonts w:ascii="Work Sans" w:hAnsi="Work Sans"/>
          <w:color w:val="2B00FF"/>
          <w:sz w:val="36"/>
          <w:szCs w:val="36"/>
        </w:rPr>
        <w:t>Specifications</w:t>
      </w:r>
    </w:p>
    <w:p w14:paraId="074C4F7C" w14:textId="77777777" w:rsidR="00FF00AD" w:rsidRPr="00FF00AD" w:rsidRDefault="00FF00AD" w:rsidP="00FF00AD">
      <w:pPr>
        <w:pStyle w:val="a8"/>
        <w:numPr>
          <w:ilvl w:val="0"/>
          <w:numId w:val="12"/>
        </w:numPr>
        <w:ind w:firstLineChars="0"/>
        <w:rPr>
          <w:sz w:val="32"/>
          <w:szCs w:val="32"/>
        </w:rPr>
      </w:pPr>
      <w:r w:rsidRPr="00FF00AD">
        <w:rPr>
          <w:sz w:val="32"/>
          <w:szCs w:val="32"/>
        </w:rPr>
        <w:t>48-Port UTP Category 5e Patch Panel</w:t>
      </w:r>
    </w:p>
    <w:p w14:paraId="1591F070" w14:textId="77777777" w:rsidR="00FF00AD" w:rsidRPr="00FF00AD" w:rsidRDefault="00FF00AD" w:rsidP="00FF00AD">
      <w:pPr>
        <w:pStyle w:val="a8"/>
        <w:numPr>
          <w:ilvl w:val="0"/>
          <w:numId w:val="12"/>
        </w:numPr>
        <w:ind w:firstLineChars="0"/>
        <w:rPr>
          <w:sz w:val="32"/>
          <w:szCs w:val="32"/>
        </w:rPr>
      </w:pPr>
      <w:r w:rsidRPr="00FF00AD">
        <w:rPr>
          <w:sz w:val="32"/>
          <w:szCs w:val="32"/>
        </w:rPr>
        <w:t>Standard 19” Wide, 1U high for Enclosures</w:t>
      </w:r>
    </w:p>
    <w:p w14:paraId="1AC1A87F" w14:textId="77777777" w:rsidR="00FF00AD" w:rsidRPr="00FF00AD" w:rsidRDefault="00FF00AD" w:rsidP="00FF00AD">
      <w:pPr>
        <w:pStyle w:val="a8"/>
        <w:numPr>
          <w:ilvl w:val="0"/>
          <w:numId w:val="12"/>
        </w:numPr>
        <w:ind w:firstLineChars="0"/>
        <w:rPr>
          <w:sz w:val="32"/>
          <w:szCs w:val="32"/>
        </w:rPr>
      </w:pPr>
      <w:r w:rsidRPr="00FF00AD">
        <w:rPr>
          <w:sz w:val="32"/>
          <w:szCs w:val="32"/>
        </w:rPr>
        <w:lastRenderedPageBreak/>
        <w:t>150MHz Frequency for future Protocol support</w:t>
      </w:r>
    </w:p>
    <w:p w14:paraId="1269BF45" w14:textId="77777777" w:rsidR="00FF00AD" w:rsidRPr="00FF00AD" w:rsidRDefault="00FF00AD" w:rsidP="00FF00AD">
      <w:pPr>
        <w:pStyle w:val="a8"/>
        <w:numPr>
          <w:ilvl w:val="0"/>
          <w:numId w:val="12"/>
        </w:numPr>
        <w:ind w:firstLineChars="0"/>
        <w:rPr>
          <w:sz w:val="32"/>
          <w:szCs w:val="32"/>
        </w:rPr>
      </w:pPr>
      <w:r w:rsidRPr="00FF00AD">
        <w:rPr>
          <w:sz w:val="32"/>
          <w:szCs w:val="32"/>
        </w:rPr>
        <w:t>ANSI/TIA-568A/B compliant, exceeding ISO-11801</w:t>
      </w:r>
    </w:p>
    <w:p w14:paraId="7DDB7734" w14:textId="77777777" w:rsidR="00FF00AD" w:rsidRPr="00FF00AD" w:rsidRDefault="00FF00AD" w:rsidP="00FF00AD">
      <w:pPr>
        <w:pStyle w:val="a8"/>
        <w:numPr>
          <w:ilvl w:val="0"/>
          <w:numId w:val="12"/>
        </w:numPr>
        <w:ind w:firstLineChars="0"/>
        <w:rPr>
          <w:sz w:val="32"/>
          <w:szCs w:val="32"/>
        </w:rPr>
      </w:pPr>
      <w:r w:rsidRPr="00FF00AD">
        <w:rPr>
          <w:sz w:val="32"/>
          <w:szCs w:val="32"/>
        </w:rPr>
        <w:t>ISO/IEC11801 and EN50173 Category 5e compliant</w:t>
      </w:r>
    </w:p>
    <w:p w14:paraId="67790E7C" w14:textId="77777777" w:rsidR="00FF00AD" w:rsidRPr="00FF00AD" w:rsidRDefault="00FF00AD" w:rsidP="00FF00AD">
      <w:pPr>
        <w:pStyle w:val="a8"/>
        <w:numPr>
          <w:ilvl w:val="0"/>
          <w:numId w:val="12"/>
        </w:numPr>
        <w:ind w:firstLineChars="0"/>
        <w:rPr>
          <w:sz w:val="32"/>
          <w:szCs w:val="32"/>
        </w:rPr>
      </w:pPr>
      <w:r w:rsidRPr="00FF00AD">
        <w:rPr>
          <w:sz w:val="32"/>
          <w:szCs w:val="32"/>
        </w:rPr>
        <w:t>Low NEXT and Attenuation for improved signal quality</w:t>
      </w:r>
    </w:p>
    <w:p w14:paraId="2A2D89FC" w14:textId="77777777" w:rsidR="00FF00AD" w:rsidRPr="00FF00AD" w:rsidRDefault="00FF00AD" w:rsidP="00FF00AD">
      <w:pPr>
        <w:pStyle w:val="a8"/>
        <w:numPr>
          <w:ilvl w:val="0"/>
          <w:numId w:val="12"/>
        </w:numPr>
        <w:ind w:firstLineChars="0"/>
        <w:rPr>
          <w:sz w:val="32"/>
          <w:szCs w:val="32"/>
        </w:rPr>
      </w:pPr>
      <w:r w:rsidRPr="00FF00AD">
        <w:rPr>
          <w:sz w:val="32"/>
          <w:szCs w:val="32"/>
        </w:rPr>
        <w:t>Colour coded 568-A/B rear Krone® IDC: 22-26 Solid AWG</w:t>
      </w:r>
    </w:p>
    <w:p w14:paraId="30134158" w14:textId="77777777" w:rsidR="00FF00AD" w:rsidRPr="00FF00AD" w:rsidRDefault="00FF00AD" w:rsidP="00FF00AD">
      <w:pPr>
        <w:pStyle w:val="a8"/>
        <w:numPr>
          <w:ilvl w:val="0"/>
          <w:numId w:val="12"/>
        </w:numPr>
        <w:ind w:firstLineChars="0"/>
        <w:rPr>
          <w:sz w:val="32"/>
          <w:szCs w:val="32"/>
        </w:rPr>
      </w:pPr>
      <w:r w:rsidRPr="00FF00AD">
        <w:rPr>
          <w:sz w:val="32"/>
          <w:szCs w:val="32"/>
        </w:rPr>
        <w:t>Gold over Nickel RJ45 plated improved contacts</w:t>
      </w:r>
    </w:p>
    <w:p w14:paraId="6DBE9AAB" w14:textId="77777777" w:rsidR="00FF00AD" w:rsidRPr="00FF00AD" w:rsidRDefault="00FF00AD" w:rsidP="00FF00AD">
      <w:pPr>
        <w:pStyle w:val="a8"/>
        <w:numPr>
          <w:ilvl w:val="0"/>
          <w:numId w:val="12"/>
        </w:numPr>
        <w:ind w:firstLineChars="0"/>
        <w:rPr>
          <w:sz w:val="32"/>
          <w:szCs w:val="32"/>
        </w:rPr>
      </w:pPr>
      <w:r w:rsidRPr="00FF00AD">
        <w:rPr>
          <w:sz w:val="32"/>
          <w:szCs w:val="32"/>
        </w:rPr>
        <w:t>Rear IDC connection Block, KATT (2a tool) type</w:t>
      </w:r>
    </w:p>
    <w:p w14:paraId="444079D2" w14:textId="77777777" w:rsidR="00FF00AD" w:rsidRPr="00FF00AD" w:rsidRDefault="00FF00AD" w:rsidP="00FF00AD">
      <w:pPr>
        <w:pStyle w:val="a8"/>
        <w:numPr>
          <w:ilvl w:val="0"/>
          <w:numId w:val="12"/>
        </w:numPr>
        <w:ind w:firstLineChars="0"/>
        <w:rPr>
          <w:sz w:val="32"/>
          <w:szCs w:val="32"/>
        </w:rPr>
      </w:pPr>
      <w:r w:rsidRPr="00FF00AD">
        <w:rPr>
          <w:sz w:val="32"/>
          <w:szCs w:val="32"/>
        </w:rPr>
        <w:t>Port Numbering with Black powder coat</w:t>
      </w:r>
    </w:p>
    <w:p w14:paraId="4FF73C8D" w14:textId="788E561C" w:rsidR="00FF00AD" w:rsidRPr="00FF00AD" w:rsidRDefault="00FF00AD" w:rsidP="00FF00AD">
      <w:pPr>
        <w:pStyle w:val="a8"/>
        <w:numPr>
          <w:ilvl w:val="0"/>
          <w:numId w:val="12"/>
        </w:numPr>
        <w:ind w:firstLineChars="0"/>
        <w:rPr>
          <w:rFonts w:hint="eastAsia"/>
          <w:sz w:val="32"/>
          <w:szCs w:val="32"/>
        </w:rPr>
      </w:pPr>
      <w:r w:rsidRPr="00FF00AD">
        <w:rPr>
          <w:sz w:val="32"/>
          <w:szCs w:val="32"/>
        </w:rPr>
        <w:t>Ideal for Data, Telco and Multimedia</w:t>
      </w:r>
    </w:p>
    <w:p w14:paraId="2B45902E" w14:textId="77777777" w:rsidR="00FF00AD" w:rsidRPr="00FF00AD" w:rsidRDefault="00FF00AD" w:rsidP="00FF00AD">
      <w:pPr>
        <w:pStyle w:val="a8"/>
        <w:ind w:left="420" w:firstLineChars="0" w:firstLine="0"/>
        <w:rPr>
          <w:rFonts w:hint="eastAsia"/>
          <w:b/>
          <w:bCs/>
          <w:sz w:val="32"/>
          <w:szCs w:val="32"/>
        </w:rPr>
      </w:pPr>
    </w:p>
    <w:p w14:paraId="059B6170" w14:textId="77777777" w:rsidR="00FF00AD" w:rsidRDefault="00FF00AD" w:rsidP="00FF00AD">
      <w:pPr>
        <w:pStyle w:val="1"/>
        <w:shd w:val="clear" w:color="auto" w:fill="FFFFFF"/>
        <w:spacing w:before="0" w:after="0"/>
        <w:rPr>
          <w:rFonts w:ascii="Work Sans" w:hAnsi="Work Sans"/>
          <w:color w:val="000000"/>
          <w:sz w:val="36"/>
          <w:szCs w:val="36"/>
        </w:rPr>
      </w:pPr>
      <w:r>
        <w:rPr>
          <w:rFonts w:ascii="Work Sans" w:hAnsi="Work Sans"/>
          <w:color w:val="2B00FF"/>
          <w:sz w:val="36"/>
          <w:szCs w:val="36"/>
        </w:rPr>
        <w:t>Applications:</w:t>
      </w:r>
    </w:p>
    <w:p w14:paraId="16502528" w14:textId="08DCC067" w:rsidR="00FF00AD" w:rsidRPr="00FF00AD" w:rsidRDefault="00FF00AD" w:rsidP="00FF00AD">
      <w:pPr>
        <w:pStyle w:val="a8"/>
        <w:numPr>
          <w:ilvl w:val="0"/>
          <w:numId w:val="13"/>
        </w:numPr>
        <w:ind w:firstLineChars="0"/>
        <w:rPr>
          <w:rFonts w:hint="eastAsia"/>
          <w:sz w:val="30"/>
          <w:szCs w:val="30"/>
          <w:bdr w:val="none" w:sz="0" w:space="0" w:color="auto" w:frame="1"/>
        </w:rPr>
      </w:pPr>
      <w:r w:rsidRPr="00FF00AD">
        <w:rPr>
          <w:sz w:val="30"/>
          <w:szCs w:val="30"/>
          <w:bdr w:val="none" w:sz="0" w:space="0" w:color="auto" w:frame="1"/>
        </w:rPr>
        <w:t>Office, Education and Home Structured Cabling Installs</w:t>
      </w:r>
    </w:p>
    <w:p w14:paraId="0198FFE1" w14:textId="17CDDEDA" w:rsidR="00FF00AD" w:rsidRPr="00FF00AD" w:rsidRDefault="00FF00AD" w:rsidP="00FF00AD">
      <w:pPr>
        <w:pStyle w:val="a8"/>
        <w:numPr>
          <w:ilvl w:val="0"/>
          <w:numId w:val="13"/>
        </w:numPr>
        <w:ind w:firstLineChars="0"/>
        <w:rPr>
          <w:rFonts w:hint="eastAsia"/>
          <w:sz w:val="30"/>
          <w:szCs w:val="30"/>
          <w:bdr w:val="none" w:sz="0" w:space="0" w:color="auto" w:frame="1"/>
        </w:rPr>
      </w:pPr>
      <w:r w:rsidRPr="00FF00AD">
        <w:rPr>
          <w:sz w:val="30"/>
          <w:szCs w:val="30"/>
          <w:bdr w:val="none" w:sz="0" w:space="0" w:color="auto" w:frame="1"/>
        </w:rPr>
        <w:t>Ideal for Gigabit Ethernet (1000Mbps) Data Networks</w:t>
      </w:r>
    </w:p>
    <w:p w14:paraId="55A72B73" w14:textId="26B8FD2B" w:rsidR="00FD291D" w:rsidRPr="00FF00AD" w:rsidRDefault="00FF00AD" w:rsidP="00FF00AD">
      <w:pPr>
        <w:pStyle w:val="a8"/>
        <w:numPr>
          <w:ilvl w:val="0"/>
          <w:numId w:val="13"/>
        </w:numPr>
        <w:ind w:firstLineChars="0"/>
        <w:rPr>
          <w:sz w:val="32"/>
          <w:szCs w:val="32"/>
        </w:rPr>
      </w:pPr>
      <w:r w:rsidRPr="00FF00AD">
        <w:rPr>
          <w:sz w:val="30"/>
          <w:szCs w:val="30"/>
          <w:bdr w:val="none" w:sz="0" w:space="0" w:color="auto" w:frame="1"/>
        </w:rPr>
        <w:t>Create fault tolerant LANs by simply patching ports</w:t>
      </w:r>
    </w:p>
    <w:p w14:paraId="21D526E6" w14:textId="77777777" w:rsidR="00FF00AD" w:rsidRPr="00FF00AD" w:rsidRDefault="00FF00AD" w:rsidP="00FF00AD">
      <w:pPr>
        <w:pStyle w:val="a8"/>
        <w:ind w:left="420" w:firstLineChars="0" w:firstLine="0"/>
        <w:rPr>
          <w:rFonts w:hint="eastAsia"/>
          <w:sz w:val="32"/>
          <w:szCs w:val="32"/>
        </w:rPr>
      </w:pPr>
    </w:p>
    <w:p w14:paraId="4543AA78" w14:textId="77777777" w:rsidR="00FF00AD" w:rsidRDefault="00FF00AD" w:rsidP="00FF00AD">
      <w:pPr>
        <w:pStyle w:val="1"/>
        <w:shd w:val="clear" w:color="auto" w:fill="FFFFFF"/>
        <w:spacing w:before="0" w:after="0"/>
        <w:rPr>
          <w:rFonts w:ascii="Work Sans" w:hAnsi="Work Sans"/>
          <w:color w:val="000000"/>
          <w:sz w:val="36"/>
          <w:szCs w:val="36"/>
        </w:rPr>
      </w:pPr>
      <w:r>
        <w:rPr>
          <w:rFonts w:ascii="Work Sans" w:hAnsi="Work Sans"/>
          <w:color w:val="2B00FF"/>
          <w:sz w:val="36"/>
          <w:szCs w:val="36"/>
        </w:rPr>
        <w:t>Product Code:</w:t>
      </w:r>
    </w:p>
    <w:p w14:paraId="72EB0834" w14:textId="77777777" w:rsidR="00FF00AD" w:rsidRPr="00FF00AD" w:rsidRDefault="00FF00AD" w:rsidP="00FF00AD">
      <w:pPr>
        <w:pStyle w:val="a8"/>
        <w:numPr>
          <w:ilvl w:val="0"/>
          <w:numId w:val="15"/>
        </w:numPr>
        <w:ind w:firstLineChars="0"/>
        <w:rPr>
          <w:sz w:val="32"/>
          <w:szCs w:val="32"/>
        </w:rPr>
      </w:pPr>
      <w:r w:rsidRPr="00FF00AD">
        <w:rPr>
          <w:sz w:val="32"/>
          <w:szCs w:val="32"/>
        </w:rPr>
        <w:t>Part Number: PPAN-48-LC</w:t>
      </w:r>
    </w:p>
    <w:p w14:paraId="3DA6B651" w14:textId="77777777" w:rsidR="00FF00AD" w:rsidRPr="00FF00AD" w:rsidRDefault="00FF00AD" w:rsidP="00FF00AD">
      <w:pPr>
        <w:pStyle w:val="a8"/>
        <w:numPr>
          <w:ilvl w:val="0"/>
          <w:numId w:val="15"/>
        </w:numPr>
        <w:ind w:firstLineChars="0"/>
        <w:rPr>
          <w:sz w:val="32"/>
          <w:szCs w:val="32"/>
        </w:rPr>
      </w:pPr>
      <w:r w:rsidRPr="00FF00AD">
        <w:rPr>
          <w:sz w:val="32"/>
          <w:szCs w:val="32"/>
        </w:rPr>
        <w:t>EAN: 8400800007452</w:t>
      </w:r>
    </w:p>
    <w:p w14:paraId="3FAD175E" w14:textId="77777777" w:rsidR="00FF00AD" w:rsidRPr="00FF00AD" w:rsidRDefault="00FF00AD" w:rsidP="00FF00AD">
      <w:pPr>
        <w:pStyle w:val="a8"/>
        <w:numPr>
          <w:ilvl w:val="0"/>
          <w:numId w:val="15"/>
        </w:numPr>
        <w:ind w:firstLineChars="0"/>
        <w:rPr>
          <w:sz w:val="32"/>
          <w:szCs w:val="32"/>
        </w:rPr>
      </w:pPr>
      <w:r w:rsidRPr="00FF00AD">
        <w:rPr>
          <w:sz w:val="32"/>
          <w:szCs w:val="32"/>
        </w:rPr>
        <w:t>Weight: 1.0Kg approx</w:t>
      </w:r>
    </w:p>
    <w:p w14:paraId="3AE1D97B" w14:textId="09421BF3" w:rsidR="00762204" w:rsidRDefault="00762204" w:rsidP="00FF00AD">
      <w:pPr>
        <w:rPr>
          <w:sz w:val="32"/>
          <w:szCs w:val="32"/>
          <w:bdr w:val="none" w:sz="0" w:space="0" w:color="auto" w:frame="1"/>
        </w:rPr>
      </w:pPr>
    </w:p>
    <w:p w14:paraId="05F45790" w14:textId="77777777" w:rsidR="00FF00AD" w:rsidRDefault="00FF00AD" w:rsidP="00FF00AD">
      <w:pPr>
        <w:pStyle w:val="1"/>
        <w:shd w:val="clear" w:color="auto" w:fill="FFFFFF"/>
        <w:spacing w:before="0" w:after="0"/>
        <w:rPr>
          <w:rFonts w:ascii="Work Sans" w:hAnsi="Work Sans"/>
          <w:color w:val="000000"/>
          <w:sz w:val="36"/>
          <w:szCs w:val="36"/>
        </w:rPr>
      </w:pPr>
      <w:r>
        <w:rPr>
          <w:rFonts w:ascii="Work Sans" w:hAnsi="Work Sans"/>
          <w:color w:val="2B00FF"/>
          <w:sz w:val="36"/>
          <w:szCs w:val="36"/>
        </w:rPr>
        <w:t>Technical Specifications:</w:t>
      </w:r>
    </w:p>
    <w:p w14:paraId="4C842A27" w14:textId="0DA1C437"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Port Count</w:t>
      </w:r>
      <w:r w:rsidRPr="00FF00AD">
        <w:rPr>
          <w:rFonts w:hint="eastAsia"/>
          <w:sz w:val="32"/>
          <w:szCs w:val="32"/>
          <w:bdr w:val="none" w:sz="0" w:space="0" w:color="auto" w:frame="1"/>
        </w:rPr>
        <w:t>：</w:t>
      </w:r>
      <w:r w:rsidRPr="00FF00AD">
        <w:rPr>
          <w:sz w:val="32"/>
          <w:szCs w:val="32"/>
          <w:bdr w:val="none" w:sz="0" w:space="0" w:color="auto" w:frame="1"/>
        </w:rPr>
        <w:t>48 Ports UTP</w:t>
      </w:r>
    </w:p>
    <w:p w14:paraId="3761EBF6" w14:textId="6DF14BBF"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Dimensions</w:t>
      </w:r>
      <w:r w:rsidRPr="00FF00AD">
        <w:rPr>
          <w:rFonts w:hint="eastAsia"/>
          <w:sz w:val="32"/>
          <w:szCs w:val="32"/>
          <w:bdr w:val="none" w:sz="0" w:space="0" w:color="auto" w:frame="1"/>
        </w:rPr>
        <w:t>：</w:t>
      </w:r>
      <w:r w:rsidRPr="00FF00AD">
        <w:rPr>
          <w:sz w:val="32"/>
          <w:szCs w:val="32"/>
          <w:bdr w:val="none" w:sz="0" w:space="0" w:color="auto" w:frame="1"/>
        </w:rPr>
        <w:t>2U 19-Inch Design Format</w:t>
      </w:r>
    </w:p>
    <w:p w14:paraId="7960F8E8" w14:textId="12058029"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Conformance</w:t>
      </w:r>
      <w:r w:rsidRPr="00FF00AD">
        <w:rPr>
          <w:rFonts w:hint="eastAsia"/>
          <w:sz w:val="32"/>
          <w:szCs w:val="32"/>
          <w:bdr w:val="none" w:sz="0" w:space="0" w:color="auto" w:frame="1"/>
        </w:rPr>
        <w:t>：</w:t>
      </w:r>
      <w:r w:rsidRPr="00FF00AD">
        <w:rPr>
          <w:sz w:val="32"/>
          <w:szCs w:val="32"/>
          <w:bdr w:val="none" w:sz="0" w:space="0" w:color="auto" w:frame="1"/>
        </w:rPr>
        <w:t>TIA-EIA-568A/568-B Coded IDC</w:t>
      </w:r>
    </w:p>
    <w:p w14:paraId="7AEF7F47" w14:textId="74B51095"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lastRenderedPageBreak/>
        <w:t>Performance</w:t>
      </w:r>
      <w:r w:rsidRPr="00FF00AD">
        <w:rPr>
          <w:rFonts w:hint="eastAsia"/>
          <w:sz w:val="32"/>
          <w:szCs w:val="32"/>
          <w:bdr w:val="none" w:sz="0" w:space="0" w:color="auto" w:frame="1"/>
        </w:rPr>
        <w:t>：</w:t>
      </w:r>
      <w:r w:rsidRPr="00FF00AD">
        <w:rPr>
          <w:sz w:val="32"/>
          <w:szCs w:val="32"/>
          <w:bdr w:val="none" w:sz="0" w:space="0" w:color="auto" w:frame="1"/>
        </w:rPr>
        <w:t>10/100/1000Mbps Gigabit Compliance</w:t>
      </w:r>
    </w:p>
    <w:p w14:paraId="0D7E0E50" w14:textId="640030EA"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RJ45/IDC Connects</w:t>
      </w:r>
      <w:r w:rsidRPr="00FF00AD">
        <w:rPr>
          <w:rFonts w:hint="eastAsia"/>
          <w:sz w:val="32"/>
          <w:szCs w:val="32"/>
          <w:bdr w:val="none" w:sz="0" w:space="0" w:color="auto" w:frame="1"/>
        </w:rPr>
        <w:t>：</w:t>
      </w:r>
      <w:r w:rsidRPr="00FF00AD">
        <w:rPr>
          <w:sz w:val="32"/>
          <w:szCs w:val="32"/>
          <w:bdr w:val="none" w:sz="0" w:space="0" w:color="auto" w:frame="1"/>
        </w:rPr>
        <w:t xml:space="preserve">Nickel and Phosphor Bronze </w:t>
      </w:r>
    </w:p>
    <w:p w14:paraId="3AE3E723" w14:textId="3C86D55C"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Port Identification</w:t>
      </w:r>
      <w:r w:rsidRPr="00FF00AD">
        <w:rPr>
          <w:rFonts w:hint="eastAsia"/>
          <w:sz w:val="32"/>
          <w:szCs w:val="32"/>
          <w:bdr w:val="none" w:sz="0" w:space="0" w:color="auto" w:frame="1"/>
        </w:rPr>
        <w:t>：</w:t>
      </w:r>
      <w:r w:rsidRPr="00FF00AD">
        <w:rPr>
          <w:sz w:val="32"/>
          <w:szCs w:val="32"/>
          <w:bdr w:val="none" w:sz="0" w:space="0" w:color="auto" w:frame="1"/>
        </w:rPr>
        <w:t>Numbered and Bespoke ID Marker</w:t>
      </w:r>
    </w:p>
    <w:p w14:paraId="76FF98EB" w14:textId="1428777E" w:rsidR="00FF00AD" w:rsidRPr="00FF00AD" w:rsidRDefault="00FF00AD" w:rsidP="00FF00AD">
      <w:pPr>
        <w:pStyle w:val="a8"/>
        <w:numPr>
          <w:ilvl w:val="0"/>
          <w:numId w:val="16"/>
        </w:numPr>
        <w:ind w:firstLineChars="0"/>
        <w:rPr>
          <w:rFonts w:hint="eastAsia"/>
          <w:sz w:val="32"/>
          <w:szCs w:val="32"/>
          <w:bdr w:val="none" w:sz="0" w:space="0" w:color="auto" w:frame="1"/>
        </w:rPr>
      </w:pPr>
      <w:r w:rsidRPr="00FF00AD">
        <w:rPr>
          <w:sz w:val="32"/>
          <w:szCs w:val="32"/>
          <w:bdr w:val="none" w:sz="0" w:space="0" w:color="auto" w:frame="1"/>
        </w:rPr>
        <w:t>Fixings</w:t>
      </w:r>
      <w:r w:rsidRPr="00FF00AD">
        <w:rPr>
          <w:rFonts w:hint="eastAsia"/>
          <w:sz w:val="32"/>
          <w:szCs w:val="32"/>
          <w:bdr w:val="none" w:sz="0" w:space="0" w:color="auto" w:frame="1"/>
        </w:rPr>
        <w:t>：</w:t>
      </w:r>
      <w:r w:rsidRPr="00FF00AD">
        <w:rPr>
          <w:sz w:val="32"/>
          <w:szCs w:val="32"/>
          <w:bdr w:val="none" w:sz="0" w:space="0" w:color="auto" w:frame="1"/>
        </w:rPr>
        <w:t>Supplied M6 Nuts and Bolts</w:t>
      </w:r>
    </w:p>
    <w:p w14:paraId="4836FD50" w14:textId="469A76B1" w:rsidR="00FF00AD" w:rsidRPr="003352BB" w:rsidRDefault="00FF00AD" w:rsidP="00FF00AD">
      <w:pPr>
        <w:rPr>
          <w:rFonts w:hint="eastAsia"/>
          <w:sz w:val="32"/>
          <w:szCs w:val="32"/>
          <w:bdr w:val="none" w:sz="0" w:space="0" w:color="auto" w:frame="1"/>
        </w:rPr>
      </w:pPr>
      <w:r w:rsidRPr="00FF00AD">
        <w:rPr>
          <w:sz w:val="32"/>
          <w:szCs w:val="32"/>
          <w:bdr w:val="none" w:sz="0" w:space="0" w:color="auto" w:frame="1"/>
        </w:rPr>
        <w:t>* Specifications and product design are subject to change. E&amp;OE.</w:t>
      </w:r>
    </w:p>
    <w:sectPr w:rsidR="00FF00AD" w:rsidRPr="003352BB" w:rsidSect="00755A63">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D6DD0" w14:textId="77777777" w:rsidR="00B5253B" w:rsidRDefault="00B5253B" w:rsidP="007F112D">
      <w:r>
        <w:separator/>
      </w:r>
    </w:p>
  </w:endnote>
  <w:endnote w:type="continuationSeparator" w:id="0">
    <w:p w14:paraId="3C7949C0" w14:textId="77777777" w:rsidR="00B5253B" w:rsidRDefault="00B5253B" w:rsidP="007F1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Work Sans">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417E4" w14:textId="77777777" w:rsidR="00B5253B" w:rsidRDefault="00B5253B" w:rsidP="007F112D">
      <w:r>
        <w:separator/>
      </w:r>
    </w:p>
  </w:footnote>
  <w:footnote w:type="continuationSeparator" w:id="0">
    <w:p w14:paraId="2C4E203F" w14:textId="77777777" w:rsidR="00B5253B" w:rsidRDefault="00B5253B" w:rsidP="007F11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276"/>
    <w:multiLevelType w:val="hybridMultilevel"/>
    <w:tmpl w:val="38C400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A325E4"/>
    <w:multiLevelType w:val="hybridMultilevel"/>
    <w:tmpl w:val="4AA4E47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A76085A"/>
    <w:multiLevelType w:val="hybridMultilevel"/>
    <w:tmpl w:val="4EC689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68F2EF1"/>
    <w:multiLevelType w:val="hybridMultilevel"/>
    <w:tmpl w:val="223CB4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6B34CE9"/>
    <w:multiLevelType w:val="hybridMultilevel"/>
    <w:tmpl w:val="78C22B4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C114957"/>
    <w:multiLevelType w:val="hybridMultilevel"/>
    <w:tmpl w:val="5F7EEC2E"/>
    <w:lvl w:ilvl="0" w:tplc="EEA27784">
      <w:start w:val="2"/>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8554AE4"/>
    <w:multiLevelType w:val="hybridMultilevel"/>
    <w:tmpl w:val="9F96C01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C885EEE"/>
    <w:multiLevelType w:val="hybridMultilevel"/>
    <w:tmpl w:val="4D5299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E9D1F57"/>
    <w:multiLevelType w:val="hybridMultilevel"/>
    <w:tmpl w:val="15361FB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FEA05FF"/>
    <w:multiLevelType w:val="hybridMultilevel"/>
    <w:tmpl w:val="66368D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547376EB"/>
    <w:multiLevelType w:val="hybridMultilevel"/>
    <w:tmpl w:val="26F633A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DE97671"/>
    <w:multiLevelType w:val="hybridMultilevel"/>
    <w:tmpl w:val="6350732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5E331411"/>
    <w:multiLevelType w:val="hybridMultilevel"/>
    <w:tmpl w:val="EF2ACF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3B6FE6"/>
    <w:multiLevelType w:val="hybridMultilevel"/>
    <w:tmpl w:val="265C02A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66563912"/>
    <w:multiLevelType w:val="hybridMultilevel"/>
    <w:tmpl w:val="4B426FDC"/>
    <w:lvl w:ilvl="0" w:tplc="F684B01A">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6F7B23E5"/>
    <w:multiLevelType w:val="hybridMultilevel"/>
    <w:tmpl w:val="9EC2FE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10"/>
  </w:num>
  <w:num w:numId="3">
    <w:abstractNumId w:val="14"/>
  </w:num>
  <w:num w:numId="4">
    <w:abstractNumId w:val="5"/>
  </w:num>
  <w:num w:numId="5">
    <w:abstractNumId w:val="13"/>
  </w:num>
  <w:num w:numId="6">
    <w:abstractNumId w:val="0"/>
  </w:num>
  <w:num w:numId="7">
    <w:abstractNumId w:val="6"/>
  </w:num>
  <w:num w:numId="8">
    <w:abstractNumId w:val="11"/>
  </w:num>
  <w:num w:numId="9">
    <w:abstractNumId w:val="12"/>
  </w:num>
  <w:num w:numId="10">
    <w:abstractNumId w:val="1"/>
  </w:num>
  <w:num w:numId="11">
    <w:abstractNumId w:val="2"/>
  </w:num>
  <w:num w:numId="12">
    <w:abstractNumId w:val="7"/>
  </w:num>
  <w:num w:numId="13">
    <w:abstractNumId w:val="9"/>
  </w:num>
  <w:num w:numId="14">
    <w:abstractNumId w:val="3"/>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3C5"/>
    <w:rsid w:val="00057924"/>
    <w:rsid w:val="000F0452"/>
    <w:rsid w:val="00130F31"/>
    <w:rsid w:val="00174E7E"/>
    <w:rsid w:val="00180EC7"/>
    <w:rsid w:val="002C2684"/>
    <w:rsid w:val="003352BB"/>
    <w:rsid w:val="00341FE0"/>
    <w:rsid w:val="00356F05"/>
    <w:rsid w:val="00385F20"/>
    <w:rsid w:val="003B1C50"/>
    <w:rsid w:val="003C7F1A"/>
    <w:rsid w:val="003E66F2"/>
    <w:rsid w:val="004433C5"/>
    <w:rsid w:val="00446E0C"/>
    <w:rsid w:val="004723D9"/>
    <w:rsid w:val="0057581D"/>
    <w:rsid w:val="00584B8C"/>
    <w:rsid w:val="00717F96"/>
    <w:rsid w:val="00751C94"/>
    <w:rsid w:val="00755A63"/>
    <w:rsid w:val="00762204"/>
    <w:rsid w:val="00767C9C"/>
    <w:rsid w:val="007B0E16"/>
    <w:rsid w:val="007F112D"/>
    <w:rsid w:val="0082718D"/>
    <w:rsid w:val="00937E4D"/>
    <w:rsid w:val="009E462F"/>
    <w:rsid w:val="00A07E39"/>
    <w:rsid w:val="00A71E58"/>
    <w:rsid w:val="00B5253B"/>
    <w:rsid w:val="00C625E8"/>
    <w:rsid w:val="00CC7637"/>
    <w:rsid w:val="00E72302"/>
    <w:rsid w:val="00FD26D2"/>
    <w:rsid w:val="00FD291D"/>
    <w:rsid w:val="00FE26DA"/>
    <w:rsid w:val="00FF0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25"/>
  <w15:chartTrackingRefBased/>
  <w15:docId w15:val="{8035273C-8F27-4DBB-89C3-75BF1959F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F112D"/>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F112D"/>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FF00AD"/>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112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F112D"/>
    <w:rPr>
      <w:sz w:val="18"/>
      <w:szCs w:val="18"/>
    </w:rPr>
  </w:style>
  <w:style w:type="paragraph" w:styleId="a5">
    <w:name w:val="footer"/>
    <w:basedOn w:val="a"/>
    <w:link w:val="a6"/>
    <w:uiPriority w:val="99"/>
    <w:unhideWhenUsed/>
    <w:rsid w:val="007F112D"/>
    <w:pPr>
      <w:tabs>
        <w:tab w:val="center" w:pos="4153"/>
        <w:tab w:val="right" w:pos="8306"/>
      </w:tabs>
      <w:snapToGrid w:val="0"/>
      <w:jc w:val="left"/>
    </w:pPr>
    <w:rPr>
      <w:sz w:val="18"/>
      <w:szCs w:val="18"/>
    </w:rPr>
  </w:style>
  <w:style w:type="character" w:customStyle="1" w:styleId="a6">
    <w:name w:val="页脚 字符"/>
    <w:basedOn w:val="a0"/>
    <w:link w:val="a5"/>
    <w:uiPriority w:val="99"/>
    <w:rsid w:val="007F112D"/>
    <w:rPr>
      <w:sz w:val="18"/>
      <w:szCs w:val="18"/>
    </w:rPr>
  </w:style>
  <w:style w:type="character" w:customStyle="1" w:styleId="10">
    <w:name w:val="标题 1 字符"/>
    <w:basedOn w:val="a0"/>
    <w:link w:val="1"/>
    <w:uiPriority w:val="9"/>
    <w:rsid w:val="007F112D"/>
    <w:rPr>
      <w:b/>
      <w:bCs/>
      <w:kern w:val="44"/>
      <w:sz w:val="44"/>
      <w:szCs w:val="44"/>
    </w:rPr>
  </w:style>
  <w:style w:type="character" w:customStyle="1" w:styleId="20">
    <w:name w:val="标题 2 字符"/>
    <w:basedOn w:val="a0"/>
    <w:link w:val="2"/>
    <w:uiPriority w:val="9"/>
    <w:rsid w:val="007F112D"/>
    <w:rPr>
      <w:rFonts w:asciiTheme="majorHAnsi" w:eastAsiaTheme="majorEastAsia" w:hAnsiTheme="majorHAnsi" w:cstheme="majorBidi"/>
      <w:b/>
      <w:bCs/>
      <w:sz w:val="32"/>
      <w:szCs w:val="32"/>
    </w:rPr>
  </w:style>
  <w:style w:type="character" w:styleId="a7">
    <w:name w:val="Strong"/>
    <w:basedOn w:val="a0"/>
    <w:uiPriority w:val="22"/>
    <w:qFormat/>
    <w:rsid w:val="007F112D"/>
    <w:rPr>
      <w:b/>
      <w:bCs/>
    </w:rPr>
  </w:style>
  <w:style w:type="paragraph" w:styleId="a8">
    <w:name w:val="List Paragraph"/>
    <w:basedOn w:val="a"/>
    <w:uiPriority w:val="34"/>
    <w:qFormat/>
    <w:rsid w:val="007B0E16"/>
    <w:pPr>
      <w:ind w:firstLineChars="200" w:firstLine="420"/>
    </w:pPr>
  </w:style>
  <w:style w:type="paragraph" w:styleId="a9">
    <w:name w:val="No Spacing"/>
    <w:uiPriority w:val="1"/>
    <w:qFormat/>
    <w:rsid w:val="00762204"/>
    <w:pPr>
      <w:widowControl w:val="0"/>
      <w:jc w:val="both"/>
    </w:pPr>
  </w:style>
  <w:style w:type="paragraph" w:styleId="aa">
    <w:name w:val="Normal (Web)"/>
    <w:basedOn w:val="a"/>
    <w:uiPriority w:val="99"/>
    <w:semiHidden/>
    <w:unhideWhenUsed/>
    <w:rsid w:val="00FD26D2"/>
    <w:pPr>
      <w:widowControl/>
      <w:spacing w:before="100" w:beforeAutospacing="1" w:after="100" w:afterAutospacing="1"/>
      <w:jc w:val="left"/>
    </w:pPr>
    <w:rPr>
      <w:rFonts w:ascii="宋体" w:eastAsia="宋体" w:hAnsi="宋体" w:cs="宋体"/>
      <w:kern w:val="0"/>
      <w:sz w:val="24"/>
      <w:szCs w:val="24"/>
    </w:rPr>
  </w:style>
  <w:style w:type="character" w:customStyle="1" w:styleId="attr-name">
    <w:name w:val="attr-name"/>
    <w:basedOn w:val="a0"/>
    <w:rsid w:val="00FD26D2"/>
  </w:style>
  <w:style w:type="character" w:customStyle="1" w:styleId="30">
    <w:name w:val="标题 3 字符"/>
    <w:basedOn w:val="a0"/>
    <w:link w:val="3"/>
    <w:uiPriority w:val="9"/>
    <w:semiHidden/>
    <w:rsid w:val="00FF00AD"/>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64386">
      <w:bodyDiv w:val="1"/>
      <w:marLeft w:val="0"/>
      <w:marRight w:val="0"/>
      <w:marTop w:val="0"/>
      <w:marBottom w:val="0"/>
      <w:divBdr>
        <w:top w:val="none" w:sz="0" w:space="0" w:color="auto"/>
        <w:left w:val="none" w:sz="0" w:space="0" w:color="auto"/>
        <w:bottom w:val="none" w:sz="0" w:space="0" w:color="auto"/>
        <w:right w:val="none" w:sz="0" w:space="0" w:color="auto"/>
      </w:divBdr>
      <w:divsChild>
        <w:div w:id="1650284216">
          <w:marLeft w:val="0"/>
          <w:marRight w:val="0"/>
          <w:marTop w:val="0"/>
          <w:marBottom w:val="0"/>
          <w:divBdr>
            <w:top w:val="none" w:sz="0" w:space="0" w:color="auto"/>
            <w:left w:val="none" w:sz="0" w:space="0" w:color="auto"/>
            <w:bottom w:val="none" w:sz="0" w:space="0" w:color="auto"/>
            <w:right w:val="none" w:sz="0" w:space="0" w:color="auto"/>
          </w:divBdr>
        </w:div>
      </w:divsChild>
    </w:div>
    <w:div w:id="195656018">
      <w:bodyDiv w:val="1"/>
      <w:marLeft w:val="0"/>
      <w:marRight w:val="0"/>
      <w:marTop w:val="0"/>
      <w:marBottom w:val="0"/>
      <w:divBdr>
        <w:top w:val="none" w:sz="0" w:space="0" w:color="auto"/>
        <w:left w:val="none" w:sz="0" w:space="0" w:color="auto"/>
        <w:bottom w:val="none" w:sz="0" w:space="0" w:color="auto"/>
        <w:right w:val="none" w:sz="0" w:space="0" w:color="auto"/>
      </w:divBdr>
    </w:div>
    <w:div w:id="342711362">
      <w:bodyDiv w:val="1"/>
      <w:marLeft w:val="0"/>
      <w:marRight w:val="0"/>
      <w:marTop w:val="0"/>
      <w:marBottom w:val="0"/>
      <w:divBdr>
        <w:top w:val="none" w:sz="0" w:space="0" w:color="auto"/>
        <w:left w:val="none" w:sz="0" w:space="0" w:color="auto"/>
        <w:bottom w:val="none" w:sz="0" w:space="0" w:color="auto"/>
        <w:right w:val="none" w:sz="0" w:space="0" w:color="auto"/>
      </w:divBdr>
    </w:div>
    <w:div w:id="654992615">
      <w:bodyDiv w:val="1"/>
      <w:marLeft w:val="0"/>
      <w:marRight w:val="0"/>
      <w:marTop w:val="0"/>
      <w:marBottom w:val="0"/>
      <w:divBdr>
        <w:top w:val="none" w:sz="0" w:space="0" w:color="auto"/>
        <w:left w:val="none" w:sz="0" w:space="0" w:color="auto"/>
        <w:bottom w:val="none" w:sz="0" w:space="0" w:color="auto"/>
        <w:right w:val="none" w:sz="0" w:space="0" w:color="auto"/>
      </w:divBdr>
      <w:divsChild>
        <w:div w:id="1620448230">
          <w:marLeft w:val="0"/>
          <w:marRight w:val="0"/>
          <w:marTop w:val="0"/>
          <w:marBottom w:val="0"/>
          <w:divBdr>
            <w:top w:val="none" w:sz="0" w:space="0" w:color="auto"/>
            <w:left w:val="none" w:sz="0" w:space="0" w:color="auto"/>
            <w:bottom w:val="none" w:sz="0" w:space="0" w:color="auto"/>
            <w:right w:val="none" w:sz="0" w:space="0" w:color="auto"/>
          </w:divBdr>
        </w:div>
        <w:div w:id="2128772746">
          <w:marLeft w:val="-300"/>
          <w:marRight w:val="-300"/>
          <w:marTop w:val="0"/>
          <w:marBottom w:val="0"/>
          <w:divBdr>
            <w:top w:val="none" w:sz="0" w:space="0" w:color="auto"/>
            <w:left w:val="none" w:sz="0" w:space="0" w:color="auto"/>
            <w:bottom w:val="none" w:sz="0" w:space="0" w:color="auto"/>
            <w:right w:val="none" w:sz="0" w:space="0" w:color="auto"/>
          </w:divBdr>
          <w:divsChild>
            <w:div w:id="1755198373">
              <w:marLeft w:val="0"/>
              <w:marRight w:val="0"/>
              <w:marTop w:val="0"/>
              <w:marBottom w:val="0"/>
              <w:divBdr>
                <w:top w:val="none" w:sz="0" w:space="0" w:color="auto"/>
                <w:left w:val="none" w:sz="0" w:space="0" w:color="auto"/>
                <w:bottom w:val="none" w:sz="0" w:space="0" w:color="auto"/>
                <w:right w:val="none" w:sz="0" w:space="0" w:color="auto"/>
              </w:divBdr>
            </w:div>
            <w:div w:id="1709405427">
              <w:marLeft w:val="0"/>
              <w:marRight w:val="0"/>
              <w:marTop w:val="0"/>
              <w:marBottom w:val="0"/>
              <w:divBdr>
                <w:top w:val="none" w:sz="0" w:space="0" w:color="auto"/>
                <w:left w:val="none" w:sz="0" w:space="0" w:color="auto"/>
                <w:bottom w:val="none" w:sz="0" w:space="0" w:color="auto"/>
                <w:right w:val="none" w:sz="0" w:space="0" w:color="auto"/>
              </w:divBdr>
            </w:div>
            <w:div w:id="1113283023">
              <w:marLeft w:val="0"/>
              <w:marRight w:val="0"/>
              <w:marTop w:val="0"/>
              <w:marBottom w:val="0"/>
              <w:divBdr>
                <w:top w:val="none" w:sz="0" w:space="0" w:color="auto"/>
                <w:left w:val="none" w:sz="0" w:space="0" w:color="auto"/>
                <w:bottom w:val="none" w:sz="0" w:space="0" w:color="auto"/>
                <w:right w:val="none" w:sz="0" w:space="0" w:color="auto"/>
              </w:divBdr>
            </w:div>
            <w:div w:id="1979728538">
              <w:marLeft w:val="0"/>
              <w:marRight w:val="0"/>
              <w:marTop w:val="0"/>
              <w:marBottom w:val="0"/>
              <w:divBdr>
                <w:top w:val="none" w:sz="0" w:space="0" w:color="auto"/>
                <w:left w:val="none" w:sz="0" w:space="0" w:color="auto"/>
                <w:bottom w:val="none" w:sz="0" w:space="0" w:color="auto"/>
                <w:right w:val="none" w:sz="0" w:space="0" w:color="auto"/>
              </w:divBdr>
            </w:div>
            <w:div w:id="712002904">
              <w:marLeft w:val="0"/>
              <w:marRight w:val="0"/>
              <w:marTop w:val="0"/>
              <w:marBottom w:val="0"/>
              <w:divBdr>
                <w:top w:val="none" w:sz="0" w:space="0" w:color="auto"/>
                <w:left w:val="none" w:sz="0" w:space="0" w:color="auto"/>
                <w:bottom w:val="none" w:sz="0" w:space="0" w:color="auto"/>
                <w:right w:val="none" w:sz="0" w:space="0" w:color="auto"/>
              </w:divBdr>
            </w:div>
            <w:div w:id="940837781">
              <w:marLeft w:val="0"/>
              <w:marRight w:val="0"/>
              <w:marTop w:val="0"/>
              <w:marBottom w:val="0"/>
              <w:divBdr>
                <w:top w:val="none" w:sz="0" w:space="0" w:color="auto"/>
                <w:left w:val="none" w:sz="0" w:space="0" w:color="auto"/>
                <w:bottom w:val="none" w:sz="0" w:space="0" w:color="auto"/>
                <w:right w:val="none" w:sz="0" w:space="0" w:color="auto"/>
              </w:divBdr>
            </w:div>
            <w:div w:id="1426224185">
              <w:marLeft w:val="0"/>
              <w:marRight w:val="0"/>
              <w:marTop w:val="0"/>
              <w:marBottom w:val="0"/>
              <w:divBdr>
                <w:top w:val="none" w:sz="0" w:space="0" w:color="auto"/>
                <w:left w:val="none" w:sz="0" w:space="0" w:color="auto"/>
                <w:bottom w:val="none" w:sz="0" w:space="0" w:color="auto"/>
                <w:right w:val="none" w:sz="0" w:space="0" w:color="auto"/>
              </w:divBdr>
            </w:div>
            <w:div w:id="1380284649">
              <w:marLeft w:val="0"/>
              <w:marRight w:val="0"/>
              <w:marTop w:val="0"/>
              <w:marBottom w:val="0"/>
              <w:divBdr>
                <w:top w:val="none" w:sz="0" w:space="0" w:color="auto"/>
                <w:left w:val="none" w:sz="0" w:space="0" w:color="auto"/>
                <w:bottom w:val="none" w:sz="0" w:space="0" w:color="auto"/>
                <w:right w:val="none" w:sz="0" w:space="0" w:color="auto"/>
              </w:divBdr>
            </w:div>
            <w:div w:id="1099371302">
              <w:marLeft w:val="0"/>
              <w:marRight w:val="0"/>
              <w:marTop w:val="0"/>
              <w:marBottom w:val="0"/>
              <w:divBdr>
                <w:top w:val="none" w:sz="0" w:space="0" w:color="auto"/>
                <w:left w:val="none" w:sz="0" w:space="0" w:color="auto"/>
                <w:bottom w:val="none" w:sz="0" w:space="0" w:color="auto"/>
                <w:right w:val="none" w:sz="0" w:space="0" w:color="auto"/>
              </w:divBdr>
            </w:div>
            <w:div w:id="703479628">
              <w:marLeft w:val="0"/>
              <w:marRight w:val="0"/>
              <w:marTop w:val="0"/>
              <w:marBottom w:val="0"/>
              <w:divBdr>
                <w:top w:val="none" w:sz="0" w:space="0" w:color="auto"/>
                <w:left w:val="none" w:sz="0" w:space="0" w:color="auto"/>
                <w:bottom w:val="none" w:sz="0" w:space="0" w:color="auto"/>
                <w:right w:val="none" w:sz="0" w:space="0" w:color="auto"/>
              </w:divBdr>
            </w:div>
            <w:div w:id="1674990465">
              <w:marLeft w:val="0"/>
              <w:marRight w:val="0"/>
              <w:marTop w:val="0"/>
              <w:marBottom w:val="0"/>
              <w:divBdr>
                <w:top w:val="none" w:sz="0" w:space="0" w:color="auto"/>
                <w:left w:val="none" w:sz="0" w:space="0" w:color="auto"/>
                <w:bottom w:val="none" w:sz="0" w:space="0" w:color="auto"/>
                <w:right w:val="none" w:sz="0" w:space="0" w:color="auto"/>
              </w:divBdr>
            </w:div>
            <w:div w:id="68166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586632">
      <w:bodyDiv w:val="1"/>
      <w:marLeft w:val="0"/>
      <w:marRight w:val="0"/>
      <w:marTop w:val="0"/>
      <w:marBottom w:val="0"/>
      <w:divBdr>
        <w:top w:val="none" w:sz="0" w:space="0" w:color="auto"/>
        <w:left w:val="none" w:sz="0" w:space="0" w:color="auto"/>
        <w:bottom w:val="none" w:sz="0" w:space="0" w:color="auto"/>
        <w:right w:val="none" w:sz="0" w:space="0" w:color="auto"/>
      </w:divBdr>
    </w:div>
    <w:div w:id="808089575">
      <w:bodyDiv w:val="1"/>
      <w:marLeft w:val="0"/>
      <w:marRight w:val="0"/>
      <w:marTop w:val="0"/>
      <w:marBottom w:val="0"/>
      <w:divBdr>
        <w:top w:val="none" w:sz="0" w:space="0" w:color="auto"/>
        <w:left w:val="none" w:sz="0" w:space="0" w:color="auto"/>
        <w:bottom w:val="none" w:sz="0" w:space="0" w:color="auto"/>
        <w:right w:val="none" w:sz="0" w:space="0" w:color="auto"/>
      </w:divBdr>
    </w:div>
    <w:div w:id="1090351964">
      <w:bodyDiv w:val="1"/>
      <w:marLeft w:val="0"/>
      <w:marRight w:val="0"/>
      <w:marTop w:val="0"/>
      <w:marBottom w:val="0"/>
      <w:divBdr>
        <w:top w:val="none" w:sz="0" w:space="0" w:color="auto"/>
        <w:left w:val="none" w:sz="0" w:space="0" w:color="auto"/>
        <w:bottom w:val="none" w:sz="0" w:space="0" w:color="auto"/>
        <w:right w:val="none" w:sz="0" w:space="0" w:color="auto"/>
      </w:divBdr>
    </w:div>
    <w:div w:id="1113285371">
      <w:bodyDiv w:val="1"/>
      <w:marLeft w:val="0"/>
      <w:marRight w:val="0"/>
      <w:marTop w:val="0"/>
      <w:marBottom w:val="0"/>
      <w:divBdr>
        <w:top w:val="none" w:sz="0" w:space="0" w:color="auto"/>
        <w:left w:val="none" w:sz="0" w:space="0" w:color="auto"/>
        <w:bottom w:val="none" w:sz="0" w:space="0" w:color="auto"/>
        <w:right w:val="none" w:sz="0" w:space="0" w:color="auto"/>
      </w:divBdr>
    </w:div>
    <w:div w:id="1529879083">
      <w:bodyDiv w:val="1"/>
      <w:marLeft w:val="0"/>
      <w:marRight w:val="0"/>
      <w:marTop w:val="0"/>
      <w:marBottom w:val="0"/>
      <w:divBdr>
        <w:top w:val="none" w:sz="0" w:space="0" w:color="auto"/>
        <w:left w:val="none" w:sz="0" w:space="0" w:color="auto"/>
        <w:bottom w:val="none" w:sz="0" w:space="0" w:color="auto"/>
        <w:right w:val="none" w:sz="0" w:space="0" w:color="auto"/>
      </w:divBdr>
    </w:div>
    <w:div w:id="1714890491">
      <w:bodyDiv w:val="1"/>
      <w:marLeft w:val="0"/>
      <w:marRight w:val="0"/>
      <w:marTop w:val="0"/>
      <w:marBottom w:val="0"/>
      <w:divBdr>
        <w:top w:val="none" w:sz="0" w:space="0" w:color="auto"/>
        <w:left w:val="none" w:sz="0" w:space="0" w:color="auto"/>
        <w:bottom w:val="none" w:sz="0" w:space="0" w:color="auto"/>
        <w:right w:val="none" w:sz="0" w:space="0" w:color="auto"/>
      </w:divBdr>
    </w:div>
    <w:div w:id="1818690137">
      <w:bodyDiv w:val="1"/>
      <w:marLeft w:val="0"/>
      <w:marRight w:val="0"/>
      <w:marTop w:val="0"/>
      <w:marBottom w:val="0"/>
      <w:divBdr>
        <w:top w:val="none" w:sz="0" w:space="0" w:color="auto"/>
        <w:left w:val="none" w:sz="0" w:space="0" w:color="auto"/>
        <w:bottom w:val="none" w:sz="0" w:space="0" w:color="auto"/>
        <w:right w:val="none" w:sz="0" w:space="0" w:color="auto"/>
      </w:divBdr>
    </w:div>
    <w:div w:id="2002735266">
      <w:bodyDiv w:val="1"/>
      <w:marLeft w:val="0"/>
      <w:marRight w:val="0"/>
      <w:marTop w:val="0"/>
      <w:marBottom w:val="0"/>
      <w:divBdr>
        <w:top w:val="none" w:sz="0" w:space="0" w:color="auto"/>
        <w:left w:val="none" w:sz="0" w:space="0" w:color="auto"/>
        <w:bottom w:val="none" w:sz="0" w:space="0" w:color="auto"/>
        <w:right w:val="none" w:sz="0" w:space="0" w:color="auto"/>
      </w:divBdr>
      <w:divsChild>
        <w:div w:id="33972504">
          <w:marLeft w:val="0"/>
          <w:marRight w:val="0"/>
          <w:marTop w:val="0"/>
          <w:marBottom w:val="0"/>
          <w:divBdr>
            <w:top w:val="none" w:sz="0" w:space="0" w:color="auto"/>
            <w:left w:val="none" w:sz="0" w:space="0" w:color="auto"/>
            <w:bottom w:val="none" w:sz="0" w:space="0" w:color="auto"/>
            <w:right w:val="none" w:sz="0" w:space="0" w:color="auto"/>
          </w:divBdr>
        </w:div>
      </w:divsChild>
    </w:div>
    <w:div w:id="213616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1</Pages>
  <Words>436</Words>
  <Characters>2487</Characters>
  <Application>Microsoft Office Word</Application>
  <DocSecurity>0</DocSecurity>
  <Lines>20</Lines>
  <Paragraphs>5</Paragraphs>
  <ScaleCrop>false</ScaleCrop>
  <Company/>
  <LinksUpToDate>false</LinksUpToDate>
  <CharactersWithSpaces>2918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dc:description/>
  <cp:lastModifiedBy>Kevin</cp:lastModifiedBy>
  <cp:revision>28</cp:revision>
  <dcterms:created xsi:type="dcterms:W3CDTF">2021-06-17T03:46:00Z</dcterms:created>
  <dcterms:modified xsi:type="dcterms:W3CDTF">2021-08-12T03:10:00Z</dcterms:modified>
</cp:coreProperties>
</file>